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F0405">
      <w:pPr>
        <w:rPr>
          <w:rFonts w:hint="default" w:ascii="Nimbus Roman" w:hAnsi="Nimbus Roman" w:eastAsia="黑体" w:cs="Nimbus Roman"/>
          <w:i w:val="0"/>
          <w:color w:val="auto"/>
          <w:kern w:val="0"/>
          <w:sz w:val="32"/>
          <w:szCs w:val="32"/>
          <w:u w:val="none"/>
          <w:lang w:val="en-US" w:eastAsia="zh-CN" w:bidi="ar"/>
        </w:rPr>
      </w:pPr>
      <w:r>
        <w:rPr>
          <w:rFonts w:hint="default" w:ascii="Nimbus Roman" w:hAnsi="Nimbus Roman" w:eastAsia="黑体" w:cs="Nimbus Roman"/>
          <w:i w:val="0"/>
          <w:color w:val="auto"/>
          <w:kern w:val="0"/>
          <w:sz w:val="32"/>
          <w:szCs w:val="32"/>
          <w:u w:val="none"/>
          <w:lang w:val="en-US" w:eastAsia="zh-CN" w:bidi="ar"/>
        </w:rPr>
        <w:t>附件</w:t>
      </w:r>
    </w:p>
    <w:p w14:paraId="6B7C1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60" w:lineRule="exact"/>
        <w:ind w:left="0" w:leftChars="0" w:right="0"/>
        <w:jc w:val="center"/>
        <w:textAlignment w:val="auto"/>
        <w:rPr>
          <w:rFonts w:hint="default" w:ascii="Nimbus Roman" w:hAnsi="Nimbus Roman" w:eastAsia="方正小标宋_GBK" w:cs="Nimbus Roman"/>
          <w:b w:val="0"/>
          <w:bCs/>
          <w:i w:val="0"/>
          <w:color w:val="auto"/>
          <w:kern w:val="0"/>
          <w:sz w:val="44"/>
          <w:szCs w:val="44"/>
          <w:u w:val="none"/>
          <w:lang w:val="en-US" w:eastAsia="zh-CN" w:bidi="ar"/>
        </w:rPr>
      </w:pPr>
      <w:r>
        <w:rPr>
          <w:rFonts w:hint="default" w:ascii="Nimbus Roman" w:hAnsi="Nimbus Roman" w:eastAsia="方正小标宋_GBK" w:cs="Nimbus Roman"/>
          <w:b w:val="0"/>
          <w:bCs/>
          <w:i w:val="0"/>
          <w:color w:val="auto"/>
          <w:kern w:val="0"/>
          <w:sz w:val="44"/>
          <w:szCs w:val="44"/>
          <w:u w:val="none"/>
          <w:lang w:val="en-US" w:eastAsia="zh-CN" w:bidi="ar"/>
        </w:rPr>
        <w:t>2024年自治区重点研发计划</w:t>
      </w:r>
    </w:p>
    <w:p w14:paraId="47A8BC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60" w:lineRule="exact"/>
        <w:ind w:left="0" w:leftChars="0" w:right="0"/>
        <w:jc w:val="center"/>
        <w:textAlignment w:val="auto"/>
        <w:rPr>
          <w:rFonts w:hint="default" w:ascii="Nimbus Roman" w:hAnsi="Nimbus Roman" w:eastAsia="方正小标宋_GBK" w:cs="Nimbus Roman"/>
          <w:b w:val="0"/>
          <w:bCs/>
          <w:i w:val="0"/>
          <w:color w:val="auto"/>
          <w:kern w:val="0"/>
          <w:sz w:val="44"/>
          <w:szCs w:val="44"/>
          <w:u w:val="none"/>
          <w:lang w:val="en-US" w:eastAsia="zh-CN" w:bidi="ar"/>
        </w:rPr>
      </w:pPr>
      <w:r>
        <w:rPr>
          <w:rFonts w:hint="default" w:ascii="Nimbus Roman" w:hAnsi="Nimbus Roman" w:eastAsia="方正小标宋_GBK" w:cs="Nimbus Roman"/>
          <w:b w:val="0"/>
          <w:bCs/>
          <w:i w:val="0"/>
          <w:color w:val="auto"/>
          <w:kern w:val="0"/>
          <w:sz w:val="44"/>
          <w:szCs w:val="44"/>
          <w:u w:val="none"/>
          <w:lang w:val="en-US" w:eastAsia="zh-CN" w:bidi="ar"/>
        </w:rPr>
        <w:t>（农业农村领域）第二批拟立项项目</w:t>
      </w:r>
    </w:p>
    <w:p w14:paraId="47953066">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黑体" w:cs="Nimbus Roman"/>
          <w:b w:val="0"/>
          <w:bCs/>
          <w:i w:val="0"/>
          <w:color w:val="auto"/>
          <w:kern w:val="0"/>
          <w:sz w:val="24"/>
          <w:szCs w:val="24"/>
          <w:u w:val="none"/>
          <w:lang w:val="en-US" w:eastAsia="zh-CN" w:bidi="ar"/>
        </w:rPr>
      </w:pPr>
      <w:bookmarkStart w:id="0" w:name="_GoBack"/>
      <w:bookmarkEnd w:id="0"/>
    </w:p>
    <w:tbl>
      <w:tblPr>
        <w:tblStyle w:val="3"/>
        <w:tblW w:w="5201" w:type="pct"/>
        <w:tblInd w:w="-317" w:type="dxa"/>
        <w:tblLayout w:type="autofit"/>
        <w:tblCellMar>
          <w:top w:w="0" w:type="dxa"/>
          <w:left w:w="0" w:type="dxa"/>
          <w:bottom w:w="0" w:type="dxa"/>
          <w:right w:w="0" w:type="dxa"/>
        </w:tblCellMar>
      </w:tblPr>
      <w:tblGrid>
        <w:gridCol w:w="892"/>
        <w:gridCol w:w="5412"/>
        <w:gridCol w:w="2922"/>
      </w:tblGrid>
      <w:tr w14:paraId="50D2C4DE">
        <w:tblPrEx>
          <w:tblCellMar>
            <w:top w:w="0" w:type="dxa"/>
            <w:left w:w="0" w:type="dxa"/>
            <w:bottom w:w="0" w:type="dxa"/>
            <w:right w:w="0" w:type="dxa"/>
          </w:tblCellMar>
        </w:tblPrEx>
        <w:trPr>
          <w:trHeight w:val="820"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276785">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黑体" w:cs="Nimbus Roman"/>
                <w:b w:val="0"/>
                <w:bCs/>
                <w:i w:val="0"/>
                <w:color w:val="auto"/>
                <w:sz w:val="24"/>
                <w:szCs w:val="24"/>
                <w:u w:val="none"/>
              </w:rPr>
            </w:pPr>
            <w:r>
              <w:rPr>
                <w:rFonts w:hint="default" w:ascii="Nimbus Roman" w:hAnsi="Nimbus Roman" w:eastAsia="黑体" w:cs="Nimbus Roman"/>
                <w:b w:val="0"/>
                <w:bCs/>
                <w:i w:val="0"/>
                <w:color w:val="auto"/>
                <w:kern w:val="0"/>
                <w:sz w:val="24"/>
                <w:szCs w:val="24"/>
                <w:u w:val="none"/>
                <w:lang w:val="en-US" w:eastAsia="zh-CN" w:bidi="ar"/>
              </w:rPr>
              <w:t>序号</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CFAA49">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黑体" w:cs="Nimbus Roman"/>
                <w:b w:val="0"/>
                <w:bCs/>
                <w:i w:val="0"/>
                <w:color w:val="auto"/>
                <w:sz w:val="24"/>
                <w:szCs w:val="24"/>
                <w:u w:val="none"/>
              </w:rPr>
            </w:pPr>
            <w:r>
              <w:rPr>
                <w:rFonts w:hint="default" w:ascii="Nimbus Roman" w:hAnsi="Nimbus Roman" w:eastAsia="黑体" w:cs="Nimbus Roman"/>
                <w:b w:val="0"/>
                <w:bCs/>
                <w:i w:val="0"/>
                <w:color w:val="auto"/>
                <w:kern w:val="0"/>
                <w:sz w:val="24"/>
                <w:szCs w:val="24"/>
                <w:u w:val="none"/>
                <w:lang w:val="en-US" w:eastAsia="zh-CN" w:bidi="ar"/>
              </w:rPr>
              <w:t>项目名称</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FC7A18">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黑体" w:cs="Nimbus Roman"/>
                <w:b w:val="0"/>
                <w:bCs/>
                <w:i w:val="0"/>
                <w:color w:val="auto"/>
                <w:sz w:val="24"/>
                <w:szCs w:val="24"/>
                <w:u w:val="none"/>
              </w:rPr>
            </w:pPr>
            <w:r>
              <w:rPr>
                <w:rFonts w:hint="default" w:ascii="Nimbus Roman" w:hAnsi="Nimbus Roman" w:eastAsia="黑体" w:cs="Nimbus Roman"/>
                <w:b w:val="0"/>
                <w:bCs/>
                <w:i w:val="0"/>
                <w:color w:val="auto"/>
                <w:kern w:val="0"/>
                <w:sz w:val="24"/>
                <w:szCs w:val="24"/>
                <w:u w:val="none"/>
                <w:lang w:val="en-US" w:eastAsia="zh-CN" w:bidi="ar"/>
              </w:rPr>
              <w:t>项目主持单位</w:t>
            </w:r>
          </w:p>
        </w:tc>
      </w:tr>
      <w:tr w14:paraId="5BDC4EAD">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86B283">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1</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170A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节水抗旱耐盐碱水稻种质创新与应用</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73BEC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49522A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农作物研究所</w:t>
            </w:r>
          </w:p>
        </w:tc>
      </w:tr>
      <w:tr w14:paraId="20E72C66">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934E9">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2</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DBAC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贺兰山东麓酿酒葡萄种苗高效繁育</w:t>
            </w:r>
          </w:p>
          <w:p w14:paraId="2A5E2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技术体系优化与应用</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78E3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6A7C94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园艺研究所</w:t>
            </w:r>
          </w:p>
        </w:tc>
      </w:tr>
      <w:tr w14:paraId="450DC07E">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AA2902">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3</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115A5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产区优良酿酒葡萄品种典型风土特征</w:t>
            </w:r>
          </w:p>
          <w:p w14:paraId="4B8D99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挖掘与品种酒种精准布局研究与示范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19D8D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宁夏贺兰山东麓葡萄酒产业技术协同创新中心</w:t>
            </w:r>
          </w:p>
        </w:tc>
      </w:tr>
      <w:tr w14:paraId="7B27A16F">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08E2F9">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4</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E9EC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枸杞子干预/改善帕金森病与抑郁症的作用</w:t>
            </w:r>
          </w:p>
          <w:p w14:paraId="1270158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及其产品研发</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C99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宁夏医科大学</w:t>
            </w:r>
          </w:p>
        </w:tc>
      </w:tr>
      <w:tr w14:paraId="2C469D37">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0C2D8C">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5</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2186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基于视觉引导激光切割仿人采收枸杞的智能装备研发与农机农艺融合的应用示范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718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宁夏杞鑫种业有限公司</w:t>
            </w:r>
          </w:p>
        </w:tc>
      </w:tr>
      <w:tr w14:paraId="174B5F7E">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EAA0C1">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sz w:val="24"/>
                <w:szCs w:val="24"/>
                <w:u w:val="none"/>
                <w:lang w:val="en-US" w:eastAsia="zh-CN"/>
              </w:rPr>
            </w:pPr>
            <w:r>
              <w:rPr>
                <w:rFonts w:hint="default" w:ascii="Nimbus Roman" w:hAnsi="Nimbus Roman" w:eastAsia="仿宋_GB2312" w:cs="Nimbus Roman"/>
                <w:i w:val="0"/>
                <w:color w:val="auto"/>
                <w:sz w:val="24"/>
                <w:szCs w:val="24"/>
                <w:u w:val="none"/>
                <w:lang w:val="en-US" w:eastAsia="zh-CN"/>
              </w:rPr>
              <w:t>6</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879A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优质奶牛自主培育与高效扩繁关键技术研究与应用</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3DF3B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2"/>
                <w:sz w:val="24"/>
                <w:szCs w:val="24"/>
                <w:u w:val="none"/>
                <w:lang w:val="en-US" w:eastAsia="zh-CN" w:bidi="ar-SA"/>
              </w:rPr>
            </w:pPr>
            <w:r>
              <w:rPr>
                <w:rFonts w:hint="default" w:ascii="Nimbus Roman" w:hAnsi="Nimbus Roman" w:eastAsia="宋体" w:cs="Nimbus Roman"/>
                <w:i w:val="0"/>
                <w:color w:val="auto"/>
                <w:kern w:val="0"/>
                <w:sz w:val="24"/>
                <w:szCs w:val="24"/>
                <w:u w:val="none"/>
                <w:lang w:val="en-US" w:eastAsia="zh-CN" w:bidi="ar"/>
              </w:rPr>
              <w:t>宁夏兴源达农牧有限公司</w:t>
            </w:r>
          </w:p>
        </w:tc>
      </w:tr>
      <w:tr w14:paraId="3C392775">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680EE1">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7</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2D9B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基于奶牛“母子一体化”精准营养关键技术</w:t>
            </w:r>
          </w:p>
          <w:p w14:paraId="531F99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研究与饲养技术示范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20503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宁夏大学</w:t>
            </w:r>
          </w:p>
        </w:tc>
      </w:tr>
      <w:tr w14:paraId="22AB6EAC">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8ADB3B">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8</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3B0C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宁夏本地黄牛优异基因挖掘利用和高效良种</w:t>
            </w:r>
          </w:p>
          <w:p w14:paraId="1E9CDC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繁育技术体系研究与应用</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F351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宁夏大学</w:t>
            </w:r>
          </w:p>
        </w:tc>
      </w:tr>
      <w:tr w14:paraId="2258D77A">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CEE42C">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9</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1AD5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肉牛低成本健康高效养殖关键技术</w:t>
            </w:r>
          </w:p>
          <w:p w14:paraId="53FEBD7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研发与示范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BE58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宁夏大学</w:t>
            </w:r>
          </w:p>
        </w:tc>
      </w:tr>
      <w:tr w14:paraId="6DEA36BB">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27955F">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10</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8AD6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滩羊优异种质资源挖掘与多世代</w:t>
            </w:r>
          </w:p>
          <w:p w14:paraId="5CC283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快速选育关键技术开发与示范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0EF7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38DFFA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动物科学研究所</w:t>
            </w:r>
          </w:p>
        </w:tc>
      </w:tr>
      <w:tr w14:paraId="5FD186E3">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0D9D96">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11</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FCD9B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滩羊母羊高效繁育及母子一体化培育</w:t>
            </w:r>
          </w:p>
          <w:p w14:paraId="244BC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关键技术研发与示范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3B7B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08F5EE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动物科学研究所</w:t>
            </w:r>
          </w:p>
        </w:tc>
      </w:tr>
      <w:tr w14:paraId="4E2BB07E">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953597">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12</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0B019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宁夏非耕地现代设施蔬菜节水省力高效生产</w:t>
            </w:r>
            <w:r>
              <w:rPr>
                <w:rFonts w:hint="default" w:ascii="Nimbus Roman" w:hAnsi="Nimbus Roman" w:eastAsia="宋体" w:cs="Nimbus Roman"/>
                <w:i w:val="0"/>
                <w:color w:val="auto"/>
                <w:kern w:val="0"/>
                <w:sz w:val="24"/>
                <w:szCs w:val="24"/>
                <w:u w:val="none"/>
                <w:lang w:val="en-US" w:eastAsia="zh-CN" w:bidi="ar"/>
              </w:rPr>
              <w:br w:type="textWrapping"/>
            </w:r>
            <w:r>
              <w:rPr>
                <w:rFonts w:hint="default" w:ascii="Nimbus Roman" w:hAnsi="Nimbus Roman" w:eastAsia="宋体" w:cs="Nimbus Roman"/>
                <w:i w:val="0"/>
                <w:color w:val="auto"/>
                <w:kern w:val="0"/>
                <w:sz w:val="24"/>
                <w:szCs w:val="24"/>
                <w:u w:val="none"/>
                <w:lang w:val="en-US" w:eastAsia="zh-CN" w:bidi="ar"/>
              </w:rPr>
              <w:t>关键技术模式创新</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BE80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宁夏大学</w:t>
            </w:r>
          </w:p>
        </w:tc>
      </w:tr>
      <w:tr w14:paraId="0EB94769">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2AEFE">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13</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6FCDD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宁夏冷凉蔬菜设施结构与环境智能控制</w:t>
            </w:r>
          </w:p>
          <w:p w14:paraId="7D3478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系统研发与示范</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514D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宁夏大学</w:t>
            </w:r>
          </w:p>
        </w:tc>
      </w:tr>
      <w:tr w14:paraId="5ABD533A">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E5FE15">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14</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337F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宁夏果蔬病虫害监测预警与精准施药</w:t>
            </w:r>
          </w:p>
          <w:p w14:paraId="0707C5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关键技术研究</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2E4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53475B5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农业经济与信息技术研究所</w:t>
            </w:r>
          </w:p>
        </w:tc>
      </w:tr>
      <w:tr w14:paraId="4C419CE9">
        <w:tblPrEx>
          <w:tblCellMar>
            <w:top w:w="0" w:type="dxa"/>
            <w:left w:w="0" w:type="dxa"/>
            <w:bottom w:w="0" w:type="dxa"/>
            <w:right w:w="0" w:type="dxa"/>
          </w:tblCellMar>
        </w:tblPrEx>
        <w:trPr>
          <w:trHeight w:val="1134" w:hRule="exact"/>
        </w:trPr>
        <w:tc>
          <w:tcPr>
            <w:tcW w:w="4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3DEC54">
            <w:pPr>
              <w:keepNext w:val="0"/>
              <w:keepLines w:val="0"/>
              <w:pageBreakBefore w:val="0"/>
              <w:widowControl/>
              <w:suppressLineNumbers w:val="0"/>
              <w:shd w:val="clear" w:color="auto" w:fill="auto"/>
              <w:kinsoku/>
              <w:wordWrap/>
              <w:overflowPunct/>
              <w:topLinePunct w:val="0"/>
              <w:autoSpaceDE/>
              <w:autoSpaceDN/>
              <w:bidi w:val="0"/>
              <w:adjustRightInd/>
              <w:snapToGrid w:val="0"/>
              <w:spacing w:line="240" w:lineRule="auto"/>
              <w:ind w:left="0" w:leftChars="0"/>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仿宋_GB2312" w:cs="Nimbus Roman"/>
                <w:i w:val="0"/>
                <w:color w:val="auto"/>
                <w:kern w:val="0"/>
                <w:sz w:val="24"/>
                <w:szCs w:val="24"/>
                <w:u w:val="none"/>
                <w:lang w:val="en-US" w:eastAsia="zh-CN" w:bidi="ar"/>
              </w:rPr>
              <w:t>15</w:t>
            </w:r>
          </w:p>
        </w:tc>
        <w:tc>
          <w:tcPr>
            <w:tcW w:w="293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6CE63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宁夏肉牛智慧养殖与疫病防控综合</w:t>
            </w:r>
            <w:r>
              <w:rPr>
                <w:rFonts w:hint="default" w:ascii="Nimbus Roman" w:hAnsi="Nimbus Roman" w:eastAsia="宋体" w:cs="Nimbus Roman"/>
                <w:i w:val="0"/>
                <w:color w:val="auto"/>
                <w:kern w:val="0"/>
                <w:sz w:val="24"/>
                <w:szCs w:val="24"/>
                <w:u w:val="none"/>
                <w:lang w:val="en-US" w:eastAsia="zh-CN" w:bidi="ar"/>
              </w:rPr>
              <w:br w:type="textWrapping"/>
            </w:r>
            <w:r>
              <w:rPr>
                <w:rFonts w:hint="default" w:ascii="Nimbus Roman" w:hAnsi="Nimbus Roman" w:eastAsia="宋体" w:cs="Nimbus Roman"/>
                <w:i w:val="0"/>
                <w:color w:val="auto"/>
                <w:kern w:val="0"/>
                <w:sz w:val="24"/>
                <w:szCs w:val="24"/>
                <w:u w:val="none"/>
                <w:lang w:val="en-US" w:eastAsia="zh-CN" w:bidi="ar"/>
              </w:rPr>
              <w:t>信息管控平台研发</w:t>
            </w:r>
          </w:p>
        </w:tc>
        <w:tc>
          <w:tcPr>
            <w:tcW w:w="15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F9B4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宋体"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宁夏农林科学院</w:t>
            </w:r>
          </w:p>
          <w:p w14:paraId="4886D2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Nimbus Roman" w:hAnsi="Nimbus Roman" w:eastAsia="仿宋_GB2312" w:cs="Nimbus Roman"/>
                <w:i w:val="0"/>
                <w:color w:val="auto"/>
                <w:kern w:val="0"/>
                <w:sz w:val="24"/>
                <w:szCs w:val="24"/>
                <w:u w:val="none"/>
                <w:lang w:val="en-US" w:eastAsia="zh-CN" w:bidi="ar"/>
              </w:rPr>
            </w:pPr>
            <w:r>
              <w:rPr>
                <w:rFonts w:hint="default" w:ascii="Nimbus Roman" w:hAnsi="Nimbus Roman" w:eastAsia="宋体" w:cs="Nimbus Roman"/>
                <w:i w:val="0"/>
                <w:color w:val="auto"/>
                <w:kern w:val="0"/>
                <w:sz w:val="24"/>
                <w:szCs w:val="24"/>
                <w:u w:val="none"/>
                <w:lang w:val="en-US" w:eastAsia="zh-CN" w:bidi="ar"/>
              </w:rPr>
              <w:t>动物科学研究所</w:t>
            </w:r>
          </w:p>
        </w:tc>
      </w:tr>
    </w:tbl>
    <w:p w14:paraId="4C9D32E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TEwMWVmOTBhYTMzYmRlYTZhN2E0Yjk3ZDBmYmMifQ=="/>
  </w:docVars>
  <w:rsids>
    <w:rsidRoot w:val="5DF27CBD"/>
    <w:rsid w:val="0FE71F15"/>
    <w:rsid w:val="168704E8"/>
    <w:rsid w:val="1AD97E95"/>
    <w:rsid w:val="1C7530FB"/>
    <w:rsid w:val="1F5B71AC"/>
    <w:rsid w:val="244250E1"/>
    <w:rsid w:val="25FA69CE"/>
    <w:rsid w:val="296D5877"/>
    <w:rsid w:val="3592028B"/>
    <w:rsid w:val="3B5F44BD"/>
    <w:rsid w:val="42D442CA"/>
    <w:rsid w:val="466F6B3E"/>
    <w:rsid w:val="50F15BAA"/>
    <w:rsid w:val="558A1C5B"/>
    <w:rsid w:val="5DF27CBD"/>
    <w:rsid w:val="5FFB2870"/>
    <w:rsid w:val="646669A8"/>
    <w:rsid w:val="71715FA0"/>
    <w:rsid w:val="79156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2024-08-07T01:17:00Z</dcterms:created>
  <dc:creator>飞常一般</dc:creator>
  <cp:lastModifiedBy>飞常一般</cp:lastModifiedBy>
  <dcterms:modified xsi:type="dcterms:W3CDTF">2024-08-07T01:18:39Z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75605D5DECBD4884976069804352BF37_11</vt:lpwstr>
  </property>
</Properties>
</file>